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E4" w:rsidRDefault="006A7680">
      <w:pPr>
        <w:jc w:val="center"/>
        <w:rPr>
          <w:rFonts w:ascii="Arial Bold" w:eastAsia="Arial Bold" w:hAnsi="Arial Bold" w:cs="Arial Bold"/>
          <w:color w:val="FF2600"/>
          <w:sz w:val="90"/>
          <w:szCs w:val="90"/>
        </w:rPr>
      </w:pPr>
      <w:r>
        <w:rPr>
          <w:rFonts w:ascii="Arial Bold" w:eastAsia="Arial Bold" w:hAnsi="Arial Bold" w:cs="Arial Bold"/>
          <w:color w:val="FF2600"/>
          <w:sz w:val="90"/>
          <w:szCs w:val="90"/>
        </w:rPr>
        <w:t>Trespass Notice</w:t>
      </w:r>
    </w:p>
    <w:p w:rsidR="00E602E4" w:rsidRDefault="00E602E4">
      <w:pPr>
        <w:jc w:val="center"/>
        <w:rPr>
          <w:rFonts w:ascii="Arial Bold" w:eastAsia="Arial Bold" w:hAnsi="Arial Bold" w:cs="Arial Bold"/>
          <w:sz w:val="28"/>
          <w:szCs w:val="28"/>
        </w:rPr>
      </w:pPr>
    </w:p>
    <w:p w:rsidR="00E602E4" w:rsidRDefault="006A7680">
      <w:pPr>
        <w:jc w:val="center"/>
        <w:rPr>
          <w:rFonts w:ascii="Arial Bold" w:eastAsia="Arial Bold" w:hAnsi="Arial Bold" w:cs="Arial Bold"/>
          <w:sz w:val="34"/>
          <w:szCs w:val="34"/>
        </w:rPr>
      </w:pPr>
      <w:r>
        <w:rPr>
          <w:rFonts w:ascii="Arial Bold" w:eastAsia="Arial Bold" w:hAnsi="Arial Bold" w:cs="Arial Bold"/>
          <w:sz w:val="34"/>
          <w:szCs w:val="34"/>
        </w:rPr>
        <w:t>Notice to all persons and entities</w:t>
      </w:r>
    </w:p>
    <w:p w:rsidR="00E602E4" w:rsidRDefault="006A7680">
      <w:pPr>
        <w:jc w:val="center"/>
        <w:rPr>
          <w:rFonts w:ascii="Arial Bold" w:eastAsia="Arial Bold" w:hAnsi="Arial Bold" w:cs="Arial Bold"/>
          <w:sz w:val="34"/>
          <w:szCs w:val="34"/>
        </w:rPr>
      </w:pPr>
      <w:proofErr w:type="gramStart"/>
      <w:r>
        <w:rPr>
          <w:rFonts w:ascii="Arial Bold" w:eastAsia="Arial Bold" w:hAnsi="Arial Bold" w:cs="Arial Bold"/>
          <w:sz w:val="34"/>
          <w:szCs w:val="34"/>
        </w:rPr>
        <w:t>living</w:t>
      </w:r>
      <w:proofErr w:type="gramEnd"/>
      <w:r>
        <w:rPr>
          <w:rFonts w:ascii="Arial Bold" w:eastAsia="Arial Bold" w:hAnsi="Arial Bold" w:cs="Arial Bold"/>
          <w:sz w:val="34"/>
          <w:szCs w:val="34"/>
        </w:rPr>
        <w:t>, corporate, private or otherwise.</w:t>
      </w:r>
    </w:p>
    <w:p w:rsidR="00E602E4" w:rsidRDefault="00E602E4">
      <w:pPr>
        <w:jc w:val="center"/>
        <w:rPr>
          <w:rFonts w:ascii="Arial Bold" w:eastAsia="Arial Bold" w:hAnsi="Arial Bold" w:cs="Arial Bold"/>
          <w:sz w:val="32"/>
          <w:szCs w:val="32"/>
        </w:rPr>
      </w:pPr>
    </w:p>
    <w:p w:rsidR="00E602E4" w:rsidRDefault="006A7680">
      <w:pPr>
        <w:jc w:val="center"/>
        <w:rPr>
          <w:rFonts w:ascii="Arial Bold" w:eastAsia="Arial Bold" w:hAnsi="Arial Bold" w:cs="Arial Bold"/>
          <w:sz w:val="30"/>
          <w:szCs w:val="30"/>
        </w:rPr>
      </w:pPr>
      <w:r>
        <w:rPr>
          <w:rFonts w:ascii="Arial Bold" w:eastAsia="Arial Bold" w:hAnsi="Arial Bold" w:cs="Arial Bold"/>
          <w:sz w:val="32"/>
          <w:szCs w:val="32"/>
        </w:rPr>
        <w:t>I</w:t>
      </w:r>
      <w:r>
        <w:rPr>
          <w:rFonts w:ascii="Arial Bold" w:eastAsia="Arial Bold" w:hAnsi="Arial Bold" w:cs="Arial Bold"/>
          <w:sz w:val="30"/>
          <w:szCs w:val="30"/>
        </w:rPr>
        <w:t>ncluding but not limited to: Police, Sheriff, Servers, Debtors or Agents of, Australia Post, Courier or delivery agents, Government Agents, Army, Agents and or Representatives of the Crown or State, Federal, State and or Local Agents and or Representatives</w:t>
      </w:r>
      <w:r>
        <w:rPr>
          <w:rFonts w:ascii="Arial Bold" w:eastAsia="Arial Bold" w:hAnsi="Arial Bold" w:cs="Arial Bold"/>
          <w:sz w:val="30"/>
          <w:szCs w:val="30"/>
        </w:rPr>
        <w:t xml:space="preserve"> of Local, State, Federal or Crown Agencies.</w:t>
      </w:r>
    </w:p>
    <w:p w:rsidR="00E602E4" w:rsidRDefault="00E602E4">
      <w:pPr>
        <w:jc w:val="center"/>
        <w:rPr>
          <w:rFonts w:ascii="Arial" w:eastAsia="Arial" w:hAnsi="Arial" w:cs="Arial"/>
          <w:sz w:val="34"/>
          <w:szCs w:val="34"/>
        </w:rPr>
      </w:pPr>
    </w:p>
    <w:p w:rsidR="00E602E4" w:rsidRDefault="006A7680">
      <w:pPr>
        <w:jc w:val="center"/>
        <w:rPr>
          <w:rFonts w:ascii="Arial Bold" w:eastAsia="Arial Bold" w:hAnsi="Arial Bold" w:cs="Arial Bold"/>
          <w:color w:val="FF2600"/>
          <w:sz w:val="34"/>
          <w:szCs w:val="34"/>
        </w:rPr>
      </w:pPr>
      <w:r>
        <w:rPr>
          <w:rFonts w:ascii="Arial Bold" w:eastAsia="Arial Bold" w:hAnsi="Arial Bold" w:cs="Arial Bold"/>
          <w:color w:val="FF2600"/>
          <w:sz w:val="34"/>
          <w:szCs w:val="34"/>
        </w:rPr>
        <w:t>Trespass applies without prior consent or prior invitation</w:t>
      </w:r>
    </w:p>
    <w:p w:rsidR="00E602E4" w:rsidRDefault="00E602E4">
      <w:pPr>
        <w:jc w:val="center"/>
        <w:rPr>
          <w:rFonts w:ascii="Helvetica Neue" w:eastAsia="Helvetica Neue" w:hAnsi="Helvetica Neue" w:cs="Helvetica Neue"/>
          <w:sz w:val="36"/>
          <w:szCs w:val="36"/>
        </w:rPr>
      </w:pPr>
    </w:p>
    <w:p w:rsidR="00E602E4" w:rsidRDefault="006A7680">
      <w:pPr>
        <w:jc w:val="center"/>
        <w:rPr>
          <w:rFonts w:ascii="Helvetica Neue" w:eastAsia="Helvetica Neue" w:hAnsi="Helvetica Neue" w:cs="Helvetica Neue"/>
          <w:sz w:val="36"/>
          <w:szCs w:val="36"/>
        </w:rPr>
      </w:pPr>
      <w:r>
        <w:rPr>
          <w:rFonts w:ascii="Arial Bold" w:eastAsia="Arial Bold" w:hAnsi="Arial Bold" w:cs="Arial Bold"/>
          <w:sz w:val="36"/>
          <w:szCs w:val="36"/>
        </w:rPr>
        <w:t>Trespass is a criminal offence</w:t>
      </w:r>
    </w:p>
    <w:p w:rsidR="00E602E4" w:rsidRDefault="00E602E4">
      <w:pPr>
        <w:jc w:val="center"/>
        <w:rPr>
          <w:rFonts w:ascii="Verdana" w:eastAsia="Verdana" w:hAnsi="Verdana" w:cs="Verdana"/>
          <w:color w:val="444444"/>
          <w:sz w:val="28"/>
          <w:szCs w:val="28"/>
        </w:rPr>
      </w:pPr>
    </w:p>
    <w:p w:rsidR="00E602E4" w:rsidRDefault="006A7680">
      <w:pPr>
        <w:jc w:val="center"/>
        <w:rPr>
          <w:rFonts w:ascii="Verdana" w:eastAsia="Verdana" w:hAnsi="Verdana" w:cs="Verdana"/>
          <w:color w:val="444444"/>
          <w:sz w:val="32"/>
          <w:szCs w:val="32"/>
        </w:rPr>
      </w:pPr>
      <w:r>
        <w:rPr>
          <w:rFonts w:ascii="Verdana" w:eastAsia="Verdana" w:hAnsi="Verdana" w:cs="Verdana"/>
          <w:color w:val="444444"/>
          <w:sz w:val="32"/>
          <w:szCs w:val="32"/>
        </w:rPr>
        <w:t>By authority High Court of Australia</w:t>
      </w:r>
    </w:p>
    <w:p w:rsidR="00E602E4" w:rsidRDefault="006A7680">
      <w:pPr>
        <w:jc w:val="center"/>
        <w:rPr>
          <w:rFonts w:ascii="Verdana" w:eastAsia="Verdana" w:hAnsi="Verdana" w:cs="Verdana"/>
          <w:color w:val="444444"/>
          <w:sz w:val="28"/>
          <w:szCs w:val="28"/>
        </w:rPr>
      </w:pPr>
      <w:r>
        <w:rPr>
          <w:rFonts w:ascii="Verdana" w:eastAsia="Verdana" w:hAnsi="Verdana" w:cs="Verdana"/>
          <w:color w:val="444444"/>
          <w:sz w:val="28"/>
          <w:szCs w:val="28"/>
        </w:rPr>
        <w:t>Plenty v Dillon [1991] 171 CLR 635 F.C. 91/004</w:t>
      </w:r>
    </w:p>
    <w:p w:rsidR="00E602E4" w:rsidRDefault="00E602E4">
      <w:pPr>
        <w:jc w:val="center"/>
        <w:rPr>
          <w:rFonts w:ascii="Verdana" w:eastAsia="Verdana" w:hAnsi="Verdana" w:cs="Verdana"/>
          <w:color w:val="444444"/>
          <w:sz w:val="30"/>
          <w:szCs w:val="30"/>
        </w:rPr>
      </w:pPr>
    </w:p>
    <w:p w:rsidR="00E602E4" w:rsidRDefault="006A7680">
      <w:pPr>
        <w:jc w:val="center"/>
        <w:rPr>
          <w:rFonts w:ascii="Verdana" w:eastAsia="Verdana" w:hAnsi="Verdana" w:cs="Verdana"/>
          <w:color w:val="444444"/>
          <w:sz w:val="26"/>
          <w:szCs w:val="26"/>
        </w:rPr>
      </w:pPr>
      <w:r>
        <w:rPr>
          <w:rFonts w:ascii="Verdana" w:eastAsia="Verdana" w:hAnsi="Verdana" w:cs="Verdana"/>
          <w:color w:val="444444"/>
          <w:sz w:val="26"/>
          <w:szCs w:val="26"/>
        </w:rPr>
        <w:t>Admittance to this property is strictly by</w:t>
      </w:r>
    </w:p>
    <w:p w:rsidR="00E602E4" w:rsidRDefault="006A7680">
      <w:pPr>
        <w:jc w:val="center"/>
        <w:rPr>
          <w:rFonts w:ascii="Verdana" w:eastAsia="Verdana" w:hAnsi="Verdana" w:cs="Verdana"/>
          <w:color w:val="444444"/>
          <w:sz w:val="26"/>
          <w:szCs w:val="26"/>
        </w:rPr>
      </w:pPr>
      <w:proofErr w:type="gramStart"/>
      <w:r>
        <w:rPr>
          <w:rFonts w:ascii="Verdana" w:eastAsia="Verdana" w:hAnsi="Verdana" w:cs="Verdana"/>
          <w:color w:val="444444"/>
          <w:sz w:val="26"/>
          <w:szCs w:val="26"/>
        </w:rPr>
        <w:t>invitation</w:t>
      </w:r>
      <w:proofErr w:type="gramEnd"/>
      <w:r>
        <w:rPr>
          <w:rFonts w:ascii="Verdana" w:eastAsia="Verdana" w:hAnsi="Verdana" w:cs="Verdana"/>
          <w:color w:val="444444"/>
          <w:sz w:val="26"/>
          <w:szCs w:val="26"/>
        </w:rPr>
        <w:t xml:space="preserve"> or appointment only or trespass applies</w:t>
      </w:r>
    </w:p>
    <w:p w:rsidR="00E602E4" w:rsidRDefault="00E602E4">
      <w:pPr>
        <w:jc w:val="center"/>
        <w:rPr>
          <w:rFonts w:ascii="Helvetica Neue" w:eastAsia="Helvetica Neue" w:hAnsi="Helvetica Neue" w:cs="Helvetica Neue"/>
          <w:sz w:val="28"/>
          <w:szCs w:val="28"/>
        </w:rPr>
      </w:pPr>
    </w:p>
    <w:p w:rsidR="00E602E4" w:rsidRDefault="006A7680">
      <w:pPr>
        <w:jc w:val="center"/>
        <w:rPr>
          <w:rFonts w:ascii="Helvetica Neue" w:eastAsia="Helvetica Neue" w:hAnsi="Helvetica Neue" w:cs="Helvetica Neue"/>
          <w:sz w:val="26"/>
          <w:szCs w:val="26"/>
        </w:rPr>
      </w:pPr>
      <w:r>
        <w:rPr>
          <w:rFonts w:ascii="Helvetica Neue" w:eastAsia="Helvetica Neue" w:hAnsi="Helvetica Neue" w:cs="Helvetica Neue"/>
          <w:sz w:val="26"/>
          <w:szCs w:val="26"/>
        </w:rPr>
        <w:t xml:space="preserve">Admittance to this property is consent to this notice </w:t>
      </w:r>
    </w:p>
    <w:p w:rsidR="00E602E4" w:rsidRDefault="00E602E4">
      <w:pPr>
        <w:jc w:val="center"/>
        <w:rPr>
          <w:rFonts w:ascii="Helvetica Neue" w:eastAsia="Helvetica Neue" w:hAnsi="Helvetica Neue" w:cs="Helvetica Neue"/>
          <w:sz w:val="22"/>
          <w:szCs w:val="22"/>
        </w:rPr>
      </w:pPr>
    </w:p>
    <w:p w:rsidR="00E602E4" w:rsidRDefault="006A7680">
      <w:pPr>
        <w:jc w:val="cente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By consent it has been deemed that an agreement has been entered into to </w:t>
      </w:r>
    </w:p>
    <w:p w:rsidR="00E602E4" w:rsidRDefault="006A7680">
      <w:pPr>
        <w:jc w:val="center"/>
        <w:rPr>
          <w:rFonts w:ascii="Helvetica Neue" w:eastAsia="Helvetica Neue" w:hAnsi="Helvetica Neue" w:cs="Helvetica Neue"/>
          <w:sz w:val="28"/>
          <w:szCs w:val="28"/>
        </w:rPr>
      </w:pPr>
      <w:proofErr w:type="gramStart"/>
      <w:r>
        <w:rPr>
          <w:rFonts w:ascii="Helvetica Neue" w:eastAsia="Helvetica Neue" w:hAnsi="Helvetica Neue" w:cs="Helvetica Neue"/>
          <w:sz w:val="28"/>
          <w:szCs w:val="28"/>
        </w:rPr>
        <w:t>provide</w:t>
      </w:r>
      <w:proofErr w:type="gramEnd"/>
      <w:r>
        <w:rPr>
          <w:rFonts w:ascii="Helvetica Neue" w:eastAsia="Helvetica Neue" w:hAnsi="Helvetica Neue" w:cs="Helvetica Neue"/>
          <w:sz w:val="28"/>
          <w:szCs w:val="28"/>
        </w:rPr>
        <w:t xml:space="preserve"> full identification details upon entry to this property</w:t>
      </w:r>
    </w:p>
    <w:p w:rsidR="00E602E4" w:rsidRDefault="00E602E4">
      <w:pPr>
        <w:jc w:val="center"/>
        <w:rPr>
          <w:rFonts w:ascii="Helvetica Neue" w:eastAsia="Helvetica Neue" w:hAnsi="Helvetica Neue" w:cs="Helvetica Neue"/>
          <w:sz w:val="22"/>
          <w:szCs w:val="22"/>
        </w:rPr>
      </w:pPr>
    </w:p>
    <w:p w:rsidR="00E602E4" w:rsidRDefault="006A7680">
      <w:pPr>
        <w:jc w:val="center"/>
        <w:rPr>
          <w:rFonts w:ascii="Helvetica Neue" w:eastAsia="Helvetica Neue" w:hAnsi="Helvetica Neue" w:cs="Helvetica Neue"/>
        </w:rPr>
      </w:pPr>
      <w:r>
        <w:rPr>
          <w:rFonts w:ascii="Helvetica Neue" w:eastAsia="Helvetica Neue" w:hAnsi="Helvetica Neue" w:cs="Helvetica Neue"/>
        </w:rPr>
        <w:t xml:space="preserve">Offenders will be prosecuted and penalized one million dollars </w:t>
      </w:r>
      <w:proofErr w:type="gramStart"/>
      <w:r>
        <w:rPr>
          <w:rFonts w:ascii="Helvetica Neue" w:eastAsia="Helvetica Neue" w:hAnsi="Helvetica Neue" w:cs="Helvetica Neue"/>
        </w:rPr>
        <w:t>( $</w:t>
      </w:r>
      <w:proofErr w:type="gramEnd"/>
      <w:r>
        <w:rPr>
          <w:rFonts w:ascii="Helvetica Neue" w:eastAsia="Helvetica Neue" w:hAnsi="Helvetica Neue" w:cs="Helvetica Neue"/>
        </w:rPr>
        <w:t xml:space="preserve">1,000,000 ) </w:t>
      </w:r>
    </w:p>
    <w:p w:rsidR="00E602E4" w:rsidRDefault="006A7680">
      <w:pPr>
        <w:jc w:val="center"/>
        <w:rPr>
          <w:rFonts w:ascii="Helvetica Neue" w:eastAsia="Helvetica Neue" w:hAnsi="Helvetica Neue" w:cs="Helvetica Neue"/>
        </w:rPr>
      </w:pPr>
      <w:r>
        <w:rPr>
          <w:rFonts w:ascii="Helvetica Neue" w:eastAsia="Helvetica Neue" w:hAnsi="Helvetica Neue" w:cs="Helvetica Neue"/>
        </w:rPr>
        <w:t xml:space="preserve">Australian (per offence UCC 3-419) including but not limited to garnishing of </w:t>
      </w:r>
    </w:p>
    <w:p w:rsidR="00E602E4" w:rsidRDefault="006A7680">
      <w:pPr>
        <w:jc w:val="center"/>
        <w:rPr>
          <w:rFonts w:ascii="Helvetica Neue" w:eastAsia="Helvetica Neue" w:hAnsi="Helvetica Neue" w:cs="Helvetica Neue"/>
        </w:rPr>
      </w:pPr>
      <w:proofErr w:type="gramStart"/>
      <w:r>
        <w:rPr>
          <w:rFonts w:ascii="Helvetica Neue" w:eastAsia="Helvetica Neue" w:hAnsi="Helvetica Neue" w:cs="Helvetica Neue"/>
        </w:rPr>
        <w:t>private</w:t>
      </w:r>
      <w:proofErr w:type="gramEnd"/>
      <w:r>
        <w:rPr>
          <w:rFonts w:ascii="Helvetica Neue" w:eastAsia="Helvetica Neue" w:hAnsi="Helvetica Neue" w:cs="Helvetica Neue"/>
        </w:rPr>
        <w:t xml:space="preserve"> and personal assets in li</w:t>
      </w:r>
      <w:r>
        <w:rPr>
          <w:rFonts w:ascii="Helvetica Neue" w:eastAsia="Helvetica Neue" w:hAnsi="Helvetica Neue" w:cs="Helvetica Neue"/>
        </w:rPr>
        <w:t>eu of injury caused by violation of this trespass notice</w:t>
      </w:r>
    </w:p>
    <w:p w:rsidR="00E602E4" w:rsidRDefault="00E602E4">
      <w:pPr>
        <w:jc w:val="center"/>
        <w:rPr>
          <w:rFonts w:ascii="Helvetica Neue" w:eastAsia="Helvetica Neue" w:hAnsi="Helvetica Neue" w:cs="Helvetica Neue"/>
          <w:sz w:val="22"/>
          <w:szCs w:val="22"/>
        </w:rPr>
      </w:pPr>
    </w:p>
    <w:p w:rsidR="00E602E4" w:rsidRDefault="00E602E4">
      <w:pPr>
        <w:jc w:val="center"/>
        <w:rPr>
          <w:rFonts w:ascii="Helvetica Neue" w:eastAsia="Helvetica Neue" w:hAnsi="Helvetica Neue" w:cs="Helvetica Neue"/>
          <w:sz w:val="28"/>
          <w:szCs w:val="28"/>
        </w:rPr>
      </w:pPr>
    </w:p>
    <w:p w:rsidR="00E602E4" w:rsidRDefault="006A7680">
      <w:pPr>
        <w:jc w:val="center"/>
        <w:rPr>
          <w:rFonts w:ascii="Helvetica Neue" w:eastAsia="Helvetica Neue" w:hAnsi="Helvetica Neue" w:cs="Helvetica Neue"/>
        </w:rPr>
      </w:pPr>
      <w:r>
        <w:rPr>
          <w:rFonts w:ascii="Helvetica Neue" w:eastAsia="Helvetica Neue" w:hAnsi="Helvetica Neue" w:cs="Helvetica Neue"/>
        </w:rPr>
        <w:t>Penalties for trespass are payable upon entry to this property without an</w:t>
      </w:r>
    </w:p>
    <w:p w:rsidR="00E602E4" w:rsidRDefault="006A7680">
      <w:pPr>
        <w:jc w:val="center"/>
        <w:rPr>
          <w:rFonts w:ascii="Helvetica Neue" w:eastAsia="Helvetica Neue" w:hAnsi="Helvetica Neue" w:cs="Helvetica Neue"/>
        </w:rPr>
      </w:pPr>
      <w:proofErr w:type="gramStart"/>
      <w:r>
        <w:rPr>
          <w:rFonts w:ascii="Helvetica Neue" w:eastAsia="Helvetica Neue" w:hAnsi="Helvetica Neue" w:cs="Helvetica Neue"/>
        </w:rPr>
        <w:t>invitation</w:t>
      </w:r>
      <w:proofErr w:type="gramEnd"/>
      <w:r>
        <w:rPr>
          <w:rFonts w:ascii="Helvetica Neue" w:eastAsia="Helvetica Neue" w:hAnsi="Helvetica Neue" w:cs="Helvetica Neue"/>
        </w:rPr>
        <w:t xml:space="preserve"> or prior consent. </w:t>
      </w:r>
    </w:p>
    <w:p w:rsidR="00E602E4" w:rsidRDefault="006A7680">
      <w:pPr>
        <w:jc w:val="center"/>
        <w:rPr>
          <w:rFonts w:ascii="Helvetica Neue" w:eastAsia="Helvetica Neue" w:hAnsi="Helvetica Neue" w:cs="Helvetica Neue"/>
          <w:sz w:val="22"/>
          <w:szCs w:val="22"/>
        </w:rPr>
      </w:pPr>
      <w:r>
        <w:rPr>
          <w:rFonts w:ascii="Helvetica Neue" w:eastAsia="Helvetica Neue" w:hAnsi="Helvetica Neue" w:cs="Helvetica Neue"/>
        </w:rPr>
        <w:t>By order of the holder in due course</w:t>
      </w:r>
    </w:p>
    <w:p w:rsidR="00E602E4" w:rsidRDefault="00E602E4">
      <w:pPr>
        <w:rPr>
          <w:rFonts w:ascii="Helvetica Neue" w:eastAsia="Helvetica Neue" w:hAnsi="Helvetica Neue" w:cs="Helvetica Neue"/>
          <w:sz w:val="22"/>
          <w:szCs w:val="22"/>
        </w:rPr>
      </w:pPr>
    </w:p>
    <w:p w:rsidR="00E602E4" w:rsidRDefault="006A7680">
      <w:pPr>
        <w:numPr>
          <w:ilvl w:val="0"/>
          <w:numId w:val="1"/>
        </w:numPr>
        <w:tabs>
          <w:tab w:val="left" w:pos="213"/>
        </w:tabs>
        <w:ind w:left="180"/>
      </w:pPr>
      <w:proofErr w:type="spellStart"/>
      <w:r>
        <w:rPr>
          <w:rFonts w:ascii="Trebuchet MS" w:eastAsia="Trebuchet MS" w:hAnsi="Trebuchet MS" w:cs="Trebuchet MS"/>
          <w:color w:val="FF2600"/>
          <w:sz w:val="26"/>
          <w:szCs w:val="26"/>
        </w:rPr>
        <w:t>Kuru</w:t>
      </w:r>
      <w:proofErr w:type="spellEnd"/>
      <w:r>
        <w:rPr>
          <w:rFonts w:ascii="Trebuchet MS" w:eastAsia="Trebuchet MS" w:hAnsi="Trebuchet MS" w:cs="Trebuchet MS"/>
          <w:color w:val="FF2600"/>
          <w:sz w:val="26"/>
          <w:szCs w:val="26"/>
        </w:rPr>
        <w:t xml:space="preserve"> v State of New South Wales [2008] HCA 26 (12 June 2008)</w:t>
      </w:r>
    </w:p>
    <w:p w:rsidR="00E602E4" w:rsidRDefault="006A7680">
      <w:pPr>
        <w:rPr>
          <w:rFonts w:ascii="Trebuchet MS" w:eastAsia="Trebuchet MS" w:hAnsi="Trebuchet MS" w:cs="Trebuchet MS"/>
          <w:color w:val="FF2600"/>
          <w:sz w:val="26"/>
          <w:szCs w:val="26"/>
        </w:rPr>
      </w:pPr>
      <w:r>
        <w:rPr>
          <w:rFonts w:ascii="Helvetica Neue" w:eastAsia="Helvetica Neue" w:hAnsi="Helvetica Neue" w:cs="Helvetica Neue"/>
          <w:color w:val="FF2600"/>
          <w:sz w:val="26"/>
          <w:szCs w:val="26"/>
        </w:rPr>
        <w:t xml:space="preserve">• </w:t>
      </w:r>
      <w:r>
        <w:rPr>
          <w:rFonts w:ascii="Trebuchet MS" w:eastAsia="Trebuchet MS" w:hAnsi="Trebuchet MS" w:cs="Trebuchet MS"/>
          <w:color w:val="FF2600"/>
          <w:sz w:val="26"/>
          <w:szCs w:val="26"/>
        </w:rPr>
        <w:t xml:space="preserve">New South Wales v </w:t>
      </w:r>
      <w:proofErr w:type="spellStart"/>
      <w:r>
        <w:rPr>
          <w:rFonts w:ascii="Trebuchet MS" w:eastAsia="Trebuchet MS" w:hAnsi="Trebuchet MS" w:cs="Trebuchet MS"/>
          <w:color w:val="FF2600"/>
          <w:sz w:val="26"/>
          <w:szCs w:val="26"/>
        </w:rPr>
        <w:t>Ibbett</w:t>
      </w:r>
      <w:proofErr w:type="spellEnd"/>
      <w:r>
        <w:rPr>
          <w:rFonts w:ascii="Trebuchet MS" w:eastAsia="Trebuchet MS" w:hAnsi="Trebuchet MS" w:cs="Trebuchet MS"/>
          <w:color w:val="FF2600"/>
          <w:sz w:val="26"/>
          <w:szCs w:val="26"/>
        </w:rPr>
        <w:t xml:space="preserve"> [2006] HCA 57; (2006) 231 ALR 485; (2006) 81 ALJR                  427 (12 December 2006)</w:t>
      </w:r>
    </w:p>
    <w:p w:rsidR="00E602E4" w:rsidRDefault="006A7680">
      <w:pPr>
        <w:rPr>
          <w:rFonts w:ascii="Trebuchet MS" w:eastAsia="Trebuchet MS" w:hAnsi="Trebuchet MS" w:cs="Trebuchet MS"/>
          <w:color w:val="FF2600"/>
          <w:sz w:val="26"/>
          <w:szCs w:val="26"/>
        </w:rPr>
      </w:pPr>
      <w:r>
        <w:rPr>
          <w:rFonts w:ascii="Helvetica Neue" w:eastAsia="Helvetica Neue" w:hAnsi="Helvetica Neue" w:cs="Helvetica Neue"/>
          <w:color w:val="FF2600"/>
          <w:sz w:val="26"/>
          <w:szCs w:val="26"/>
        </w:rPr>
        <w:t xml:space="preserve">• </w:t>
      </w:r>
      <w:r>
        <w:rPr>
          <w:rFonts w:ascii="Trebuchet MS" w:eastAsia="Trebuchet MS" w:hAnsi="Trebuchet MS" w:cs="Trebuchet MS"/>
          <w:color w:val="FF2600"/>
          <w:sz w:val="26"/>
          <w:szCs w:val="26"/>
        </w:rPr>
        <w:t>Plenty vs. Dillon [1991] HCA 5; (1991) 171 CLR 635 F.C. 91/004 (7 March 1991</w:t>
      </w:r>
      <w:r>
        <w:rPr>
          <w:rFonts w:ascii="Trebuchet MS" w:eastAsia="Trebuchet MS" w:hAnsi="Trebuchet MS" w:cs="Trebuchet MS"/>
          <w:color w:val="FF2600"/>
          <w:sz w:val="26"/>
          <w:szCs w:val="26"/>
        </w:rPr>
        <w:t>)</w:t>
      </w:r>
    </w:p>
    <w:p w:rsidR="00E602E4" w:rsidRDefault="006A7680">
      <w:pPr>
        <w:rPr>
          <w:rFonts w:ascii="Trebuchet MS" w:eastAsia="Trebuchet MS" w:hAnsi="Trebuchet MS" w:cs="Trebuchet MS"/>
          <w:color w:val="FF2600"/>
          <w:sz w:val="26"/>
          <w:szCs w:val="26"/>
        </w:rPr>
      </w:pPr>
      <w:r>
        <w:rPr>
          <w:rFonts w:ascii="Helvetica Neue" w:eastAsia="Helvetica Neue" w:hAnsi="Helvetica Neue" w:cs="Helvetica Neue"/>
          <w:color w:val="FF2600"/>
          <w:sz w:val="26"/>
          <w:szCs w:val="26"/>
        </w:rPr>
        <w:t xml:space="preserve">• </w:t>
      </w:r>
      <w:r>
        <w:rPr>
          <w:rFonts w:ascii="Trebuchet MS" w:eastAsia="Trebuchet MS" w:hAnsi="Trebuchet MS" w:cs="Trebuchet MS"/>
          <w:color w:val="FF2600"/>
          <w:sz w:val="26"/>
          <w:szCs w:val="26"/>
        </w:rPr>
        <w:t xml:space="preserve">George v </w:t>
      </w:r>
      <w:proofErr w:type="spellStart"/>
      <w:r>
        <w:rPr>
          <w:rFonts w:ascii="Trebuchet MS" w:eastAsia="Trebuchet MS" w:hAnsi="Trebuchet MS" w:cs="Trebuchet MS"/>
          <w:color w:val="FF2600"/>
          <w:sz w:val="26"/>
          <w:szCs w:val="26"/>
        </w:rPr>
        <w:t>Rockett</w:t>
      </w:r>
      <w:proofErr w:type="spellEnd"/>
      <w:r>
        <w:rPr>
          <w:rFonts w:ascii="Trebuchet MS" w:eastAsia="Trebuchet MS" w:hAnsi="Trebuchet MS" w:cs="Trebuchet MS"/>
          <w:color w:val="FF2600"/>
          <w:sz w:val="26"/>
          <w:szCs w:val="26"/>
        </w:rPr>
        <w:t xml:space="preserve"> [1990] HCA 26; (1990) 170 CLR 104 (20 June 1990)</w:t>
      </w:r>
    </w:p>
    <w:p w:rsidR="00E602E4" w:rsidRDefault="006A7680">
      <w:pPr>
        <w:rPr>
          <w:rFonts w:ascii="Trebuchet MS" w:eastAsia="Trebuchet MS" w:hAnsi="Trebuchet MS" w:cs="Trebuchet MS"/>
          <w:color w:val="FF2600"/>
          <w:sz w:val="26"/>
          <w:szCs w:val="26"/>
        </w:rPr>
      </w:pPr>
      <w:r>
        <w:rPr>
          <w:rFonts w:ascii="Helvetica Neue" w:eastAsia="Helvetica Neue" w:hAnsi="Helvetica Neue" w:cs="Helvetica Neue"/>
          <w:color w:val="FF2600"/>
          <w:sz w:val="26"/>
          <w:szCs w:val="26"/>
        </w:rPr>
        <w:t xml:space="preserve">• </w:t>
      </w:r>
      <w:proofErr w:type="spellStart"/>
      <w:r>
        <w:rPr>
          <w:rFonts w:ascii="Trebuchet MS" w:eastAsia="Trebuchet MS" w:hAnsi="Trebuchet MS" w:cs="Trebuchet MS"/>
          <w:color w:val="FF2600"/>
          <w:sz w:val="26"/>
          <w:szCs w:val="26"/>
        </w:rPr>
        <w:t>Halliday</w:t>
      </w:r>
      <w:proofErr w:type="spellEnd"/>
      <w:r>
        <w:rPr>
          <w:rFonts w:ascii="Trebuchet MS" w:eastAsia="Trebuchet MS" w:hAnsi="Trebuchet MS" w:cs="Trebuchet MS"/>
          <w:color w:val="FF2600"/>
          <w:sz w:val="26"/>
          <w:szCs w:val="26"/>
        </w:rPr>
        <w:t xml:space="preserve"> v </w:t>
      </w:r>
      <w:proofErr w:type="spellStart"/>
      <w:r>
        <w:rPr>
          <w:rFonts w:ascii="Trebuchet MS" w:eastAsia="Trebuchet MS" w:hAnsi="Trebuchet MS" w:cs="Trebuchet MS"/>
          <w:color w:val="FF2600"/>
          <w:sz w:val="26"/>
          <w:szCs w:val="26"/>
        </w:rPr>
        <w:t>Nevill</w:t>
      </w:r>
      <w:proofErr w:type="spellEnd"/>
      <w:r>
        <w:rPr>
          <w:rFonts w:ascii="Trebuchet MS" w:eastAsia="Trebuchet MS" w:hAnsi="Trebuchet MS" w:cs="Trebuchet MS"/>
          <w:color w:val="FF2600"/>
          <w:sz w:val="26"/>
          <w:szCs w:val="26"/>
        </w:rPr>
        <w:t xml:space="preserve"> [1984] HCA 80; (1984) 155 CLR 1 (6 December 1984)</w:t>
      </w:r>
    </w:p>
    <w:p w:rsidR="00E602E4" w:rsidRDefault="006A7680">
      <w:pPr>
        <w:rPr>
          <w:rFonts w:ascii="Trebuchet MS" w:eastAsia="Trebuchet MS" w:hAnsi="Trebuchet MS" w:cs="Trebuchet MS"/>
          <w:color w:val="FF2600"/>
          <w:sz w:val="26"/>
          <w:szCs w:val="26"/>
        </w:rPr>
      </w:pPr>
      <w:r>
        <w:rPr>
          <w:rFonts w:ascii="Helvetica Neue" w:eastAsia="Helvetica Neue" w:hAnsi="Helvetica Neue" w:cs="Helvetica Neue"/>
          <w:color w:val="FF2600"/>
          <w:sz w:val="26"/>
          <w:szCs w:val="26"/>
        </w:rPr>
        <w:t xml:space="preserve">• </w:t>
      </w:r>
      <w:r>
        <w:rPr>
          <w:rFonts w:ascii="Trebuchet MS" w:eastAsia="Trebuchet MS" w:hAnsi="Trebuchet MS" w:cs="Trebuchet MS"/>
          <w:color w:val="FF2600"/>
          <w:sz w:val="26"/>
          <w:szCs w:val="26"/>
        </w:rPr>
        <w:t>Commonwealth v New South Wales [1923] HCA 34; (1923) 33 CLR 1 (9 August 1923)</w:t>
      </w:r>
    </w:p>
    <w:p w:rsidR="00E602E4" w:rsidRDefault="00E602E4">
      <w:pPr>
        <w:widowControl w:val="0"/>
        <w:ind w:left="720"/>
      </w:pPr>
    </w:p>
    <w:sectPr w:rsidR="00E602E4" w:rsidSect="00E602E4">
      <w:headerReference w:type="default" r:id="rId7"/>
      <w:footerReference w:type="default" r:id="rId8"/>
      <w:pgSz w:w="11900" w:h="16840"/>
      <w:pgMar w:top="720" w:right="720" w:bottom="375" w:left="720"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80" w:rsidRDefault="006A7680" w:rsidP="00E602E4">
      <w:r>
        <w:separator/>
      </w:r>
    </w:p>
  </w:endnote>
  <w:endnote w:type="continuationSeparator" w:id="0">
    <w:p w:rsidR="006A7680" w:rsidRDefault="006A7680" w:rsidP="00E602E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4" w:rsidRDefault="00E602E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80" w:rsidRDefault="006A7680" w:rsidP="00E602E4">
      <w:r>
        <w:separator/>
      </w:r>
    </w:p>
  </w:footnote>
  <w:footnote w:type="continuationSeparator" w:id="0">
    <w:p w:rsidR="006A7680" w:rsidRDefault="006A7680" w:rsidP="00E6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4" w:rsidRDefault="00E602E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07155"/>
    <w:multiLevelType w:val="multilevel"/>
    <w:tmpl w:val="4AF4DB8A"/>
    <w:lvl w:ilvl="0">
      <w:start w:val="1"/>
      <w:numFmt w:val="bullet"/>
      <w:lvlText w:val="•"/>
      <w:lvlJc w:val="left"/>
      <w:pPr>
        <w:ind w:left="213" w:hanging="213"/>
      </w:pPr>
      <w:rPr>
        <w:rFonts w:ascii="Trebuchet MS" w:eastAsia="Trebuchet MS" w:hAnsi="Trebuchet MS" w:cs="Trebuchet MS"/>
        <w:color w:val="FF2600"/>
        <w:sz w:val="22"/>
        <w:szCs w:val="22"/>
        <w:u w:val="none"/>
        <w:vertAlign w:val="baseline"/>
      </w:rPr>
    </w:lvl>
    <w:lvl w:ilvl="1">
      <w:start w:val="1"/>
      <w:numFmt w:val="bullet"/>
      <w:lvlText w:val="•"/>
      <w:lvlJc w:val="left"/>
      <w:pPr>
        <w:ind w:left="411" w:hanging="231"/>
      </w:pPr>
      <w:rPr>
        <w:rFonts w:ascii="Trebuchet MS" w:eastAsia="Trebuchet MS" w:hAnsi="Trebuchet MS" w:cs="Trebuchet MS"/>
        <w:color w:val="FF2600"/>
        <w:sz w:val="26"/>
        <w:szCs w:val="26"/>
        <w:u w:val="none"/>
        <w:vertAlign w:val="baseline"/>
      </w:rPr>
    </w:lvl>
    <w:lvl w:ilvl="2">
      <w:start w:val="1"/>
      <w:numFmt w:val="bullet"/>
      <w:lvlText w:val="•"/>
      <w:lvlJc w:val="left"/>
      <w:pPr>
        <w:ind w:left="591" w:hanging="231"/>
      </w:pPr>
      <w:rPr>
        <w:rFonts w:ascii="Trebuchet MS" w:eastAsia="Trebuchet MS" w:hAnsi="Trebuchet MS" w:cs="Trebuchet MS"/>
        <w:color w:val="FF2600"/>
        <w:sz w:val="26"/>
        <w:szCs w:val="26"/>
        <w:u w:val="none"/>
        <w:vertAlign w:val="baseline"/>
      </w:rPr>
    </w:lvl>
    <w:lvl w:ilvl="3">
      <w:start w:val="1"/>
      <w:numFmt w:val="bullet"/>
      <w:lvlText w:val="•"/>
      <w:lvlJc w:val="left"/>
      <w:pPr>
        <w:ind w:left="771" w:hanging="231"/>
      </w:pPr>
      <w:rPr>
        <w:rFonts w:ascii="Trebuchet MS" w:eastAsia="Trebuchet MS" w:hAnsi="Trebuchet MS" w:cs="Trebuchet MS"/>
        <w:color w:val="FF2600"/>
        <w:sz w:val="26"/>
        <w:szCs w:val="26"/>
        <w:u w:val="none"/>
        <w:vertAlign w:val="baseline"/>
      </w:rPr>
    </w:lvl>
    <w:lvl w:ilvl="4">
      <w:start w:val="1"/>
      <w:numFmt w:val="bullet"/>
      <w:lvlText w:val="•"/>
      <w:lvlJc w:val="left"/>
      <w:pPr>
        <w:ind w:left="951" w:hanging="231"/>
      </w:pPr>
      <w:rPr>
        <w:rFonts w:ascii="Trebuchet MS" w:eastAsia="Trebuchet MS" w:hAnsi="Trebuchet MS" w:cs="Trebuchet MS"/>
        <w:color w:val="FF2600"/>
        <w:sz w:val="26"/>
        <w:szCs w:val="26"/>
        <w:u w:val="none"/>
        <w:vertAlign w:val="baseline"/>
      </w:rPr>
    </w:lvl>
    <w:lvl w:ilvl="5">
      <w:start w:val="1"/>
      <w:numFmt w:val="bullet"/>
      <w:lvlText w:val="•"/>
      <w:lvlJc w:val="left"/>
      <w:pPr>
        <w:ind w:left="1131" w:hanging="231"/>
      </w:pPr>
      <w:rPr>
        <w:rFonts w:ascii="Trebuchet MS" w:eastAsia="Trebuchet MS" w:hAnsi="Trebuchet MS" w:cs="Trebuchet MS"/>
        <w:color w:val="FF2600"/>
        <w:sz w:val="26"/>
        <w:szCs w:val="26"/>
        <w:u w:val="none"/>
        <w:vertAlign w:val="baseline"/>
      </w:rPr>
    </w:lvl>
    <w:lvl w:ilvl="6">
      <w:start w:val="1"/>
      <w:numFmt w:val="bullet"/>
      <w:lvlText w:val="•"/>
      <w:lvlJc w:val="left"/>
      <w:pPr>
        <w:ind w:left="1311" w:hanging="231"/>
      </w:pPr>
      <w:rPr>
        <w:rFonts w:ascii="Trebuchet MS" w:eastAsia="Trebuchet MS" w:hAnsi="Trebuchet MS" w:cs="Trebuchet MS"/>
        <w:color w:val="FF2600"/>
        <w:sz w:val="26"/>
        <w:szCs w:val="26"/>
        <w:u w:val="none"/>
        <w:vertAlign w:val="baseline"/>
      </w:rPr>
    </w:lvl>
    <w:lvl w:ilvl="7">
      <w:start w:val="1"/>
      <w:numFmt w:val="bullet"/>
      <w:lvlText w:val="•"/>
      <w:lvlJc w:val="left"/>
      <w:pPr>
        <w:ind w:left="1491" w:hanging="231"/>
      </w:pPr>
      <w:rPr>
        <w:rFonts w:ascii="Trebuchet MS" w:eastAsia="Trebuchet MS" w:hAnsi="Trebuchet MS" w:cs="Trebuchet MS"/>
        <w:color w:val="FF2600"/>
        <w:sz w:val="26"/>
        <w:szCs w:val="26"/>
        <w:u w:val="none"/>
        <w:vertAlign w:val="baseline"/>
      </w:rPr>
    </w:lvl>
    <w:lvl w:ilvl="8">
      <w:start w:val="1"/>
      <w:numFmt w:val="bullet"/>
      <w:lvlText w:val="•"/>
      <w:lvlJc w:val="left"/>
      <w:pPr>
        <w:ind w:left="1671" w:hanging="231"/>
      </w:pPr>
      <w:rPr>
        <w:rFonts w:ascii="Trebuchet MS" w:eastAsia="Trebuchet MS" w:hAnsi="Trebuchet MS" w:cs="Trebuchet MS"/>
        <w:color w:val="FF2600"/>
        <w:sz w:val="26"/>
        <w:szCs w:val="26"/>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02E4"/>
    <w:rsid w:val="006A7680"/>
    <w:rsid w:val="00CF60DE"/>
    <w:rsid w:val="00E602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E4"/>
  </w:style>
  <w:style w:type="paragraph" w:styleId="Heading1">
    <w:name w:val="heading 1"/>
    <w:basedOn w:val="Normal"/>
    <w:next w:val="Normal"/>
    <w:uiPriority w:val="9"/>
    <w:qFormat/>
    <w:rsid w:val="00E602E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602E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602E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602E4"/>
    <w:pPr>
      <w:keepNext/>
      <w:keepLines/>
      <w:spacing w:before="240" w:after="40"/>
      <w:outlineLvl w:val="3"/>
    </w:pPr>
    <w:rPr>
      <w:b/>
    </w:rPr>
  </w:style>
  <w:style w:type="paragraph" w:styleId="Heading5">
    <w:name w:val="heading 5"/>
    <w:basedOn w:val="Normal"/>
    <w:next w:val="Normal"/>
    <w:uiPriority w:val="9"/>
    <w:semiHidden/>
    <w:unhideWhenUsed/>
    <w:qFormat/>
    <w:rsid w:val="00E602E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602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02E4"/>
  </w:style>
  <w:style w:type="paragraph" w:styleId="Title">
    <w:name w:val="Title"/>
    <w:basedOn w:val="Normal"/>
    <w:next w:val="Normal"/>
    <w:uiPriority w:val="10"/>
    <w:qFormat/>
    <w:rsid w:val="00E602E4"/>
    <w:pPr>
      <w:keepNext/>
      <w:keepLines/>
      <w:spacing w:before="480" w:after="120"/>
    </w:pPr>
    <w:rPr>
      <w:b/>
      <w:sz w:val="72"/>
      <w:szCs w:val="72"/>
    </w:rPr>
  </w:style>
  <w:style w:type="paragraph" w:styleId="Subtitle">
    <w:name w:val="Subtitle"/>
    <w:basedOn w:val="Normal"/>
    <w:next w:val="Normal"/>
    <w:rsid w:val="00E602E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D</dc:creator>
  <cp:lastModifiedBy>Glen</cp:lastModifiedBy>
  <cp:revision>2</cp:revision>
  <dcterms:created xsi:type="dcterms:W3CDTF">2021-07-08T08:40:00Z</dcterms:created>
  <dcterms:modified xsi:type="dcterms:W3CDTF">2021-07-08T08:40:00Z</dcterms:modified>
</cp:coreProperties>
</file>